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2DBFB" w14:textId="1ED7A358" w:rsidR="00E86D14" w:rsidRDefault="6A7C57F3" w:rsidP="4FACAE5B">
      <w:pPr>
        <w:jc w:val="center"/>
        <w:rPr>
          <w:b/>
          <w:bCs/>
        </w:rPr>
      </w:pPr>
      <w:r w:rsidRPr="4FACAE5B">
        <w:rPr>
          <w:b/>
          <w:bCs/>
        </w:rPr>
        <w:t xml:space="preserve">UCC Program Proposal Evaluation </w:t>
      </w:r>
      <w:r w:rsidR="004D34F2">
        <w:rPr>
          <w:b/>
          <w:bCs/>
        </w:rPr>
        <w:t>Checklist</w:t>
      </w:r>
    </w:p>
    <w:p w14:paraId="180EF22A" w14:textId="77777777" w:rsidR="00AF2F8C" w:rsidRDefault="00AF2F8C" w:rsidP="00AF2F8C"/>
    <w:p w14:paraId="7578B8C9" w14:textId="1B25C6FA" w:rsidR="00D36525" w:rsidRPr="00D36525" w:rsidRDefault="00AF2F8C" w:rsidP="00D36525">
      <w:r>
        <w:t xml:space="preserve">This </w:t>
      </w:r>
      <w:r w:rsidR="004D34F2">
        <w:t>checklist</w:t>
      </w:r>
      <w:r>
        <w:t xml:space="preserve"> is intended as a guide for setting expectations about what UCC will consider during the review of program proposals, as well as an expression of best practices. </w:t>
      </w:r>
    </w:p>
    <w:p w14:paraId="51FF0BF2" w14:textId="77777777" w:rsidR="003A6BDF" w:rsidRDefault="003A6BDF" w:rsidP="002C3E64">
      <w:pPr>
        <w:jc w:val="center"/>
      </w:pPr>
    </w:p>
    <w:tbl>
      <w:tblPr>
        <w:tblStyle w:val="TableGrid"/>
        <w:tblW w:w="10133" w:type="dxa"/>
        <w:jc w:val="center"/>
        <w:tblLook w:val="04A0" w:firstRow="1" w:lastRow="0" w:firstColumn="1" w:lastColumn="0" w:noHBand="0" w:noVBand="1"/>
      </w:tblPr>
      <w:tblGrid>
        <w:gridCol w:w="5005"/>
        <w:gridCol w:w="4250"/>
        <w:gridCol w:w="878"/>
      </w:tblGrid>
      <w:tr w:rsidR="004D34F2" w14:paraId="66F6CBD2" w14:textId="77777777" w:rsidTr="004D34F2">
        <w:trPr>
          <w:jc w:val="center"/>
        </w:trPr>
        <w:tc>
          <w:tcPr>
            <w:tcW w:w="5005" w:type="dxa"/>
            <w:vAlign w:val="center"/>
          </w:tcPr>
          <w:p w14:paraId="67CEDE66" w14:textId="3FAEA67B" w:rsidR="004D34F2" w:rsidRPr="002C3E64" w:rsidRDefault="004D34F2" w:rsidP="004D34F2">
            <w:pPr>
              <w:jc w:val="center"/>
              <w:rPr>
                <w:b/>
                <w:bCs/>
              </w:rPr>
            </w:pPr>
            <w:r>
              <w:rPr>
                <w:b/>
              </w:rPr>
              <w:t>Criterion</w:t>
            </w:r>
          </w:p>
        </w:tc>
        <w:tc>
          <w:tcPr>
            <w:tcW w:w="4250" w:type="dxa"/>
            <w:vAlign w:val="center"/>
          </w:tcPr>
          <w:p w14:paraId="6190D3E3" w14:textId="16185CD9" w:rsidR="004D34F2" w:rsidRPr="002C3E64" w:rsidRDefault="004D34F2" w:rsidP="004D34F2">
            <w:pPr>
              <w:jc w:val="center"/>
              <w:rPr>
                <w:b/>
                <w:bCs/>
              </w:rPr>
            </w:pPr>
            <w:r>
              <w:rPr>
                <w:b/>
              </w:rPr>
              <w:t>Expectations</w:t>
            </w:r>
          </w:p>
        </w:tc>
        <w:tc>
          <w:tcPr>
            <w:tcW w:w="878" w:type="dxa"/>
            <w:vAlign w:val="center"/>
          </w:tcPr>
          <w:p w14:paraId="0C1D9C03" w14:textId="3B9CA1E5" w:rsidR="004D34F2" w:rsidRPr="002C3E64" w:rsidRDefault="004D34F2" w:rsidP="002C3E64">
            <w:pPr>
              <w:jc w:val="center"/>
              <w:rPr>
                <w:b/>
              </w:rPr>
            </w:pPr>
            <w:r>
              <w:rPr>
                <w:b/>
              </w:rPr>
              <w:t>Y/N</w:t>
            </w:r>
          </w:p>
        </w:tc>
      </w:tr>
      <w:tr w:rsidR="004D34F2" w14:paraId="611B0D5D" w14:textId="77777777" w:rsidTr="004D34F2">
        <w:trPr>
          <w:jc w:val="center"/>
        </w:trPr>
        <w:tc>
          <w:tcPr>
            <w:tcW w:w="5005" w:type="dxa"/>
            <w:vAlign w:val="center"/>
          </w:tcPr>
          <w:p w14:paraId="254A4494" w14:textId="398FE1D5" w:rsidR="004D34F2" w:rsidRPr="00BE6721" w:rsidRDefault="004D34F2" w:rsidP="00BE6721">
            <w:pPr>
              <w:rPr>
                <w:b/>
                <w:bCs/>
                <w:sz w:val="22"/>
                <w:szCs w:val="22"/>
              </w:rPr>
            </w:pPr>
            <w:r w:rsidRPr="00BE6721">
              <w:rPr>
                <w:b/>
                <w:bCs/>
                <w:sz w:val="22"/>
                <w:szCs w:val="22"/>
              </w:rPr>
              <w:t>Program Details</w:t>
            </w:r>
          </w:p>
        </w:tc>
        <w:tc>
          <w:tcPr>
            <w:tcW w:w="4250" w:type="dxa"/>
            <w:vAlign w:val="center"/>
          </w:tcPr>
          <w:p w14:paraId="37DA8080" w14:textId="363D933B" w:rsidR="004D34F2" w:rsidRPr="001632A6" w:rsidRDefault="004D34F2" w:rsidP="002E6FDA">
            <w:pPr>
              <w:jc w:val="center"/>
              <w:rPr>
                <w:sz w:val="22"/>
                <w:szCs w:val="22"/>
              </w:rPr>
            </w:pPr>
            <w:r>
              <w:rPr>
                <w:sz w:val="22"/>
                <w:szCs w:val="22"/>
              </w:rPr>
              <w:t>Required</w:t>
            </w:r>
          </w:p>
        </w:tc>
        <w:tc>
          <w:tcPr>
            <w:tcW w:w="878" w:type="dxa"/>
            <w:vAlign w:val="center"/>
          </w:tcPr>
          <w:p w14:paraId="5480827E" w14:textId="77777777" w:rsidR="004D34F2" w:rsidRDefault="004D34F2" w:rsidP="35DD88ED">
            <w:pPr>
              <w:jc w:val="center"/>
            </w:pPr>
          </w:p>
        </w:tc>
      </w:tr>
      <w:tr w:rsidR="004D34F2" w14:paraId="5F08A42A" w14:textId="77777777" w:rsidTr="004D34F2">
        <w:trPr>
          <w:jc w:val="center"/>
        </w:trPr>
        <w:tc>
          <w:tcPr>
            <w:tcW w:w="5005" w:type="dxa"/>
            <w:vAlign w:val="center"/>
          </w:tcPr>
          <w:p w14:paraId="17FF80E8" w14:textId="3130E801" w:rsidR="004D34F2" w:rsidRPr="001632A6" w:rsidRDefault="004D34F2" w:rsidP="00EF0123">
            <w:pPr>
              <w:jc w:val="right"/>
              <w:rPr>
                <w:i/>
                <w:iCs/>
                <w:sz w:val="22"/>
                <w:szCs w:val="22"/>
              </w:rPr>
            </w:pPr>
            <w:r w:rsidRPr="001632A6">
              <w:rPr>
                <w:i/>
                <w:iCs/>
                <w:sz w:val="22"/>
                <w:szCs w:val="22"/>
              </w:rPr>
              <w:t>PLO Matrix w/Courses</w:t>
            </w:r>
          </w:p>
        </w:tc>
        <w:tc>
          <w:tcPr>
            <w:tcW w:w="4250" w:type="dxa"/>
            <w:vAlign w:val="center"/>
          </w:tcPr>
          <w:p w14:paraId="162F528F" w14:textId="40034CF7" w:rsidR="004D34F2" w:rsidRPr="001632A6" w:rsidRDefault="004D34F2" w:rsidP="35DD88ED">
            <w:pPr>
              <w:rPr>
                <w:sz w:val="22"/>
                <w:szCs w:val="22"/>
              </w:rPr>
            </w:pPr>
            <w:r w:rsidRPr="001632A6">
              <w:rPr>
                <w:sz w:val="22"/>
                <w:szCs w:val="22"/>
              </w:rPr>
              <w:t>A matrix is present showing PLOs on one axis and required courses along the other, marking intersections with specific roles, such as introduction (I), practice (P), and assessment (A), of each PLO, as appropriate.</w:t>
            </w:r>
          </w:p>
        </w:tc>
        <w:tc>
          <w:tcPr>
            <w:tcW w:w="878" w:type="dxa"/>
            <w:vAlign w:val="center"/>
          </w:tcPr>
          <w:p w14:paraId="2730BE55" w14:textId="36B2B911" w:rsidR="004D34F2" w:rsidRDefault="004D34F2" w:rsidP="35DD88ED">
            <w:pPr>
              <w:jc w:val="center"/>
            </w:pPr>
          </w:p>
        </w:tc>
      </w:tr>
      <w:tr w:rsidR="004D34F2" w14:paraId="229893B8" w14:textId="77777777" w:rsidTr="004D34F2">
        <w:trPr>
          <w:jc w:val="center"/>
        </w:trPr>
        <w:tc>
          <w:tcPr>
            <w:tcW w:w="5005" w:type="dxa"/>
            <w:vAlign w:val="center"/>
          </w:tcPr>
          <w:p w14:paraId="4F5AB03A" w14:textId="77777777" w:rsidR="004D34F2" w:rsidRPr="001632A6" w:rsidRDefault="004D34F2" w:rsidP="00EF0123">
            <w:pPr>
              <w:jc w:val="right"/>
              <w:rPr>
                <w:i/>
                <w:iCs/>
                <w:sz w:val="22"/>
                <w:szCs w:val="22"/>
              </w:rPr>
            </w:pPr>
          </w:p>
          <w:p w14:paraId="29B283D6" w14:textId="5B8C56FB" w:rsidR="004D34F2" w:rsidRPr="001632A6" w:rsidRDefault="004D34F2" w:rsidP="004D34F2">
            <w:pPr>
              <w:jc w:val="right"/>
              <w:rPr>
                <w:i/>
                <w:iCs/>
                <w:sz w:val="22"/>
                <w:szCs w:val="22"/>
              </w:rPr>
            </w:pPr>
            <w:r w:rsidRPr="001632A6">
              <w:rPr>
                <w:i/>
                <w:iCs/>
                <w:sz w:val="22"/>
                <w:szCs w:val="22"/>
              </w:rPr>
              <w:t>Program Design</w:t>
            </w:r>
          </w:p>
        </w:tc>
        <w:tc>
          <w:tcPr>
            <w:tcW w:w="4250" w:type="dxa"/>
            <w:vAlign w:val="center"/>
          </w:tcPr>
          <w:p w14:paraId="7A771292" w14:textId="68F49072" w:rsidR="004D34F2" w:rsidRPr="001632A6" w:rsidRDefault="004D34F2" w:rsidP="00447F74">
            <w:pPr>
              <w:rPr>
                <w:sz w:val="22"/>
                <w:szCs w:val="22"/>
              </w:rPr>
            </w:pPr>
            <w:r w:rsidRPr="001632A6">
              <w:rPr>
                <w:sz w:val="22"/>
                <w:szCs w:val="22"/>
              </w:rPr>
              <w:t>Proposal includes a clear, persuasive, and parsimonious program description with a list of relevant required and elective courses that clearly serve the PLOs and a pre-requisite structure that is shown to permit timely program completion.</w:t>
            </w:r>
          </w:p>
        </w:tc>
        <w:tc>
          <w:tcPr>
            <w:tcW w:w="878" w:type="dxa"/>
            <w:vAlign w:val="center"/>
          </w:tcPr>
          <w:p w14:paraId="45106FAA" w14:textId="77777777" w:rsidR="004D34F2" w:rsidRDefault="004D34F2" w:rsidP="00447F74">
            <w:pPr>
              <w:jc w:val="center"/>
            </w:pPr>
          </w:p>
        </w:tc>
      </w:tr>
      <w:tr w:rsidR="004D34F2" w14:paraId="46FFBB16" w14:textId="77777777" w:rsidTr="004D34F2">
        <w:trPr>
          <w:jc w:val="center"/>
        </w:trPr>
        <w:tc>
          <w:tcPr>
            <w:tcW w:w="5005" w:type="dxa"/>
            <w:vAlign w:val="center"/>
          </w:tcPr>
          <w:p w14:paraId="0CD17504" w14:textId="57D60015" w:rsidR="004D34F2" w:rsidRPr="001632A6" w:rsidRDefault="004D34F2" w:rsidP="00EF0123">
            <w:pPr>
              <w:jc w:val="right"/>
              <w:rPr>
                <w:i/>
                <w:iCs/>
                <w:sz w:val="22"/>
                <w:szCs w:val="22"/>
              </w:rPr>
            </w:pPr>
            <w:r w:rsidRPr="001632A6">
              <w:rPr>
                <w:i/>
                <w:iCs/>
                <w:sz w:val="22"/>
                <w:szCs w:val="22"/>
              </w:rPr>
              <w:t>Catalog Entry</w:t>
            </w:r>
          </w:p>
        </w:tc>
        <w:tc>
          <w:tcPr>
            <w:tcW w:w="4250" w:type="dxa"/>
            <w:vAlign w:val="center"/>
          </w:tcPr>
          <w:p w14:paraId="6C0C90EF" w14:textId="4AFD77D7" w:rsidR="004D34F2" w:rsidRPr="001632A6" w:rsidRDefault="004D34F2" w:rsidP="00447F74">
            <w:pPr>
              <w:rPr>
                <w:sz w:val="22"/>
                <w:szCs w:val="22"/>
              </w:rPr>
            </w:pPr>
            <w:r w:rsidRPr="001632A6">
              <w:rPr>
                <w:sz w:val="22"/>
                <w:szCs w:val="22"/>
              </w:rPr>
              <w:t>An appropriately congruent catalog entry is provided using the standard catalog format with track changes for edits, as applicable. The entry is in a very readable structure with clear indications of where the program hours are earned, and written in clear, correct language with minimal jargon that students and external stakeholders are likely to understand.</w:t>
            </w:r>
          </w:p>
        </w:tc>
        <w:tc>
          <w:tcPr>
            <w:tcW w:w="878" w:type="dxa"/>
            <w:vAlign w:val="center"/>
          </w:tcPr>
          <w:p w14:paraId="3921211A" w14:textId="77777777" w:rsidR="004D34F2" w:rsidRDefault="004D34F2" w:rsidP="00447F74">
            <w:pPr>
              <w:jc w:val="center"/>
            </w:pPr>
          </w:p>
        </w:tc>
      </w:tr>
      <w:tr w:rsidR="004D34F2" w14:paraId="50290045" w14:textId="77777777" w:rsidTr="004D34F2">
        <w:trPr>
          <w:jc w:val="center"/>
        </w:trPr>
        <w:tc>
          <w:tcPr>
            <w:tcW w:w="5005" w:type="dxa"/>
            <w:vAlign w:val="center"/>
          </w:tcPr>
          <w:p w14:paraId="7E67E2C9" w14:textId="77777777" w:rsidR="004D34F2" w:rsidRPr="001632A6" w:rsidRDefault="004D34F2" w:rsidP="00EF0123">
            <w:pPr>
              <w:jc w:val="right"/>
              <w:rPr>
                <w:i/>
                <w:iCs/>
                <w:sz w:val="22"/>
                <w:szCs w:val="22"/>
              </w:rPr>
            </w:pPr>
          </w:p>
          <w:p w14:paraId="72743ED7" w14:textId="77777777" w:rsidR="004D34F2" w:rsidRPr="001632A6" w:rsidRDefault="004D34F2" w:rsidP="00EF0123">
            <w:pPr>
              <w:jc w:val="right"/>
              <w:rPr>
                <w:i/>
                <w:iCs/>
                <w:sz w:val="22"/>
                <w:szCs w:val="22"/>
              </w:rPr>
            </w:pPr>
            <w:r w:rsidRPr="001632A6">
              <w:rPr>
                <w:i/>
                <w:iCs/>
                <w:sz w:val="22"/>
                <w:szCs w:val="22"/>
              </w:rPr>
              <w:t>Duplication</w:t>
            </w:r>
          </w:p>
          <w:p w14:paraId="722FB32C" w14:textId="77777777" w:rsidR="004D34F2" w:rsidRPr="001632A6" w:rsidRDefault="004D34F2" w:rsidP="004D34F2">
            <w:pPr>
              <w:jc w:val="right"/>
              <w:rPr>
                <w:i/>
                <w:iCs/>
                <w:sz w:val="22"/>
                <w:szCs w:val="22"/>
              </w:rPr>
            </w:pPr>
          </w:p>
        </w:tc>
        <w:tc>
          <w:tcPr>
            <w:tcW w:w="4250" w:type="dxa"/>
            <w:vAlign w:val="center"/>
          </w:tcPr>
          <w:p w14:paraId="5E9AA8A3" w14:textId="2FBF6971" w:rsidR="004D34F2" w:rsidRPr="001632A6" w:rsidRDefault="004D34F2" w:rsidP="00447F74">
            <w:pPr>
              <w:rPr>
                <w:sz w:val="22"/>
                <w:szCs w:val="22"/>
              </w:rPr>
            </w:pPr>
            <w:r w:rsidRPr="001632A6">
              <w:rPr>
                <w:sz w:val="22"/>
                <w:szCs w:val="22"/>
              </w:rPr>
              <w:t>There is a statement to the effect that no duplication exists or expressing that a duplication is justified due to accreditation requirements or due to a novel or innovative perspective on the material or unique application not fulfilled by the existing program. Examples of the accreditation language or innovative perspective / unique application are provided.</w:t>
            </w:r>
          </w:p>
        </w:tc>
        <w:tc>
          <w:tcPr>
            <w:tcW w:w="878" w:type="dxa"/>
            <w:vAlign w:val="center"/>
          </w:tcPr>
          <w:p w14:paraId="6E446023" w14:textId="77777777" w:rsidR="004D34F2" w:rsidRDefault="004D34F2" w:rsidP="00447F74">
            <w:pPr>
              <w:jc w:val="center"/>
            </w:pPr>
          </w:p>
        </w:tc>
      </w:tr>
      <w:tr w:rsidR="004D34F2" w14:paraId="46310774" w14:textId="77777777" w:rsidTr="004D34F2">
        <w:trPr>
          <w:jc w:val="center"/>
        </w:trPr>
        <w:tc>
          <w:tcPr>
            <w:tcW w:w="5005" w:type="dxa"/>
            <w:vAlign w:val="center"/>
          </w:tcPr>
          <w:p w14:paraId="03629288" w14:textId="6C95090D" w:rsidR="004D34F2" w:rsidRPr="001632A6" w:rsidRDefault="004D34F2" w:rsidP="00447F74">
            <w:pPr>
              <w:rPr>
                <w:b/>
                <w:bCs/>
                <w:sz w:val="22"/>
                <w:szCs w:val="22"/>
              </w:rPr>
            </w:pPr>
            <w:r w:rsidRPr="001632A6">
              <w:rPr>
                <w:b/>
                <w:bCs/>
                <w:sz w:val="22"/>
                <w:szCs w:val="22"/>
              </w:rPr>
              <w:t>Student Success</w:t>
            </w:r>
          </w:p>
        </w:tc>
        <w:tc>
          <w:tcPr>
            <w:tcW w:w="4250" w:type="dxa"/>
            <w:vAlign w:val="center"/>
          </w:tcPr>
          <w:p w14:paraId="30E60D8F" w14:textId="6F148782" w:rsidR="004D34F2" w:rsidRPr="001632A6" w:rsidRDefault="004D34F2" w:rsidP="00447F74">
            <w:pPr>
              <w:rPr>
                <w:sz w:val="22"/>
                <w:szCs w:val="22"/>
              </w:rPr>
            </w:pPr>
          </w:p>
        </w:tc>
        <w:tc>
          <w:tcPr>
            <w:tcW w:w="878" w:type="dxa"/>
            <w:vAlign w:val="center"/>
          </w:tcPr>
          <w:p w14:paraId="7817A1BA" w14:textId="21E0AF50" w:rsidR="004D34F2" w:rsidRDefault="004D34F2" w:rsidP="00447F74">
            <w:pPr>
              <w:jc w:val="center"/>
            </w:pPr>
          </w:p>
        </w:tc>
      </w:tr>
      <w:tr w:rsidR="004D34F2" w14:paraId="425D2E19" w14:textId="77777777" w:rsidTr="004D34F2">
        <w:trPr>
          <w:jc w:val="center"/>
        </w:trPr>
        <w:tc>
          <w:tcPr>
            <w:tcW w:w="5005" w:type="dxa"/>
            <w:vAlign w:val="center"/>
          </w:tcPr>
          <w:p w14:paraId="513410A8" w14:textId="7AD676B3" w:rsidR="004D34F2" w:rsidRPr="001632A6" w:rsidRDefault="004D34F2" w:rsidP="004D34F2">
            <w:pPr>
              <w:jc w:val="right"/>
              <w:rPr>
                <w:i/>
                <w:iCs/>
                <w:sz w:val="22"/>
                <w:szCs w:val="22"/>
              </w:rPr>
            </w:pPr>
            <w:r w:rsidRPr="001632A6">
              <w:rPr>
                <w:i/>
                <w:iCs/>
                <w:sz w:val="22"/>
                <w:szCs w:val="22"/>
              </w:rPr>
              <w:t>Rationale for program or change</w:t>
            </w:r>
          </w:p>
        </w:tc>
        <w:tc>
          <w:tcPr>
            <w:tcW w:w="4250" w:type="dxa"/>
            <w:vAlign w:val="center"/>
          </w:tcPr>
          <w:p w14:paraId="55699A95" w14:textId="3170EABC" w:rsidR="004D34F2" w:rsidRPr="001632A6" w:rsidRDefault="004D34F2" w:rsidP="31EBD6D9">
            <w:pPr>
              <w:rPr>
                <w:sz w:val="22"/>
                <w:szCs w:val="22"/>
              </w:rPr>
            </w:pPr>
            <w:r w:rsidRPr="001632A6">
              <w:rPr>
                <w:sz w:val="22"/>
                <w:szCs w:val="22"/>
              </w:rPr>
              <w:t xml:space="preserve">Rationale for the program is clearly explained and shows that the proposal fits within the mission of UHD and advances UHD’s vision. The program serves Houston </w:t>
            </w:r>
            <w:r w:rsidRPr="001632A6">
              <w:rPr>
                <w:sz w:val="22"/>
                <w:szCs w:val="22"/>
              </w:rPr>
              <w:lastRenderedPageBreak/>
              <w:t>and state stakeholders and fills a need that is clearly expressed.</w:t>
            </w:r>
          </w:p>
        </w:tc>
        <w:tc>
          <w:tcPr>
            <w:tcW w:w="878" w:type="dxa"/>
            <w:vAlign w:val="center"/>
          </w:tcPr>
          <w:p w14:paraId="7FB36ECE" w14:textId="5307C8F8" w:rsidR="004D34F2" w:rsidRDefault="004D34F2" w:rsidP="00447F74">
            <w:pPr>
              <w:jc w:val="center"/>
            </w:pPr>
          </w:p>
        </w:tc>
      </w:tr>
      <w:tr w:rsidR="004D34F2" w14:paraId="6CA9A408" w14:textId="77777777" w:rsidTr="004D34F2">
        <w:trPr>
          <w:jc w:val="center"/>
        </w:trPr>
        <w:tc>
          <w:tcPr>
            <w:tcW w:w="5005" w:type="dxa"/>
            <w:vAlign w:val="center"/>
          </w:tcPr>
          <w:p w14:paraId="338DF41D" w14:textId="77777777" w:rsidR="004D34F2" w:rsidRDefault="004D34F2" w:rsidP="00EF0123">
            <w:pPr>
              <w:jc w:val="right"/>
              <w:rPr>
                <w:i/>
                <w:iCs/>
                <w:sz w:val="22"/>
                <w:szCs w:val="22"/>
              </w:rPr>
            </w:pPr>
            <w:r w:rsidRPr="001632A6">
              <w:rPr>
                <w:i/>
                <w:iCs/>
                <w:sz w:val="22"/>
                <w:szCs w:val="22"/>
              </w:rPr>
              <w:t>Enrollment potential</w:t>
            </w:r>
            <w:r>
              <w:rPr>
                <w:i/>
                <w:iCs/>
                <w:sz w:val="22"/>
                <w:szCs w:val="22"/>
              </w:rPr>
              <w:t xml:space="preserve"> </w:t>
            </w:r>
          </w:p>
          <w:p w14:paraId="2A3CBDCC" w14:textId="1094B26F" w:rsidR="004D34F2" w:rsidRPr="001632A6" w:rsidRDefault="004D34F2" w:rsidP="00EF0123">
            <w:pPr>
              <w:jc w:val="right"/>
              <w:rPr>
                <w:i/>
                <w:iCs/>
                <w:sz w:val="22"/>
                <w:szCs w:val="22"/>
              </w:rPr>
            </w:pPr>
            <w:r>
              <w:rPr>
                <w:i/>
                <w:iCs/>
                <w:sz w:val="22"/>
                <w:szCs w:val="22"/>
              </w:rPr>
              <w:t>(</w:t>
            </w:r>
            <w:proofErr w:type="gramStart"/>
            <w:r>
              <w:rPr>
                <w:i/>
                <w:iCs/>
                <w:sz w:val="22"/>
                <w:szCs w:val="22"/>
              </w:rPr>
              <w:t>for</w:t>
            </w:r>
            <w:proofErr w:type="gramEnd"/>
            <w:r>
              <w:rPr>
                <w:i/>
                <w:iCs/>
                <w:sz w:val="22"/>
                <w:szCs w:val="22"/>
              </w:rPr>
              <w:t xml:space="preserve"> new program or large program changes)</w:t>
            </w:r>
          </w:p>
        </w:tc>
        <w:tc>
          <w:tcPr>
            <w:tcW w:w="4250" w:type="dxa"/>
            <w:vAlign w:val="center"/>
          </w:tcPr>
          <w:p w14:paraId="2BF87EBA" w14:textId="560D9D61" w:rsidR="004D34F2" w:rsidRPr="001632A6" w:rsidRDefault="004D34F2" w:rsidP="00447F74">
            <w:pPr>
              <w:rPr>
                <w:sz w:val="22"/>
                <w:szCs w:val="22"/>
              </w:rPr>
            </w:pPr>
            <w:r w:rsidRPr="001632A6">
              <w:rPr>
                <w:sz w:val="22"/>
                <w:szCs w:val="22"/>
              </w:rPr>
              <w:t xml:space="preserve">A thorough analysis of the marketplace now and </w:t>
            </w:r>
            <w:proofErr w:type="gramStart"/>
            <w:r w:rsidRPr="001632A6">
              <w:rPr>
                <w:sz w:val="22"/>
                <w:szCs w:val="22"/>
              </w:rPr>
              <w:t>in the near future</w:t>
            </w:r>
            <w:proofErr w:type="gramEnd"/>
            <w:r w:rsidRPr="001632A6">
              <w:rPr>
                <w:sz w:val="22"/>
                <w:szCs w:val="22"/>
              </w:rPr>
              <w:t xml:space="preserve"> is provided, using available statistics and also more concrete data, such as surveys conducted or Houston area program success information. </w:t>
            </w:r>
          </w:p>
        </w:tc>
        <w:tc>
          <w:tcPr>
            <w:tcW w:w="878" w:type="dxa"/>
            <w:vAlign w:val="center"/>
          </w:tcPr>
          <w:p w14:paraId="4F011E96" w14:textId="095F9754" w:rsidR="004D34F2" w:rsidRDefault="004D34F2" w:rsidP="00447F74">
            <w:pPr>
              <w:jc w:val="center"/>
            </w:pPr>
          </w:p>
        </w:tc>
      </w:tr>
      <w:tr w:rsidR="004D34F2" w14:paraId="1DA7B711" w14:textId="77777777" w:rsidTr="004D34F2">
        <w:trPr>
          <w:jc w:val="center"/>
        </w:trPr>
        <w:tc>
          <w:tcPr>
            <w:tcW w:w="5005" w:type="dxa"/>
            <w:vAlign w:val="center"/>
          </w:tcPr>
          <w:p w14:paraId="4E3736E3" w14:textId="77777777" w:rsidR="004D34F2" w:rsidRDefault="004D34F2" w:rsidP="00EF0123">
            <w:pPr>
              <w:jc w:val="right"/>
              <w:rPr>
                <w:i/>
                <w:iCs/>
                <w:sz w:val="22"/>
                <w:szCs w:val="22"/>
              </w:rPr>
            </w:pPr>
            <w:r w:rsidRPr="001632A6">
              <w:rPr>
                <w:i/>
                <w:iCs/>
                <w:sz w:val="22"/>
                <w:szCs w:val="22"/>
              </w:rPr>
              <w:t>Effect on other programs</w:t>
            </w:r>
            <w:r>
              <w:rPr>
                <w:i/>
                <w:iCs/>
                <w:sz w:val="22"/>
                <w:szCs w:val="22"/>
              </w:rPr>
              <w:t xml:space="preserve"> </w:t>
            </w:r>
          </w:p>
          <w:p w14:paraId="48B777B1" w14:textId="67DAC151" w:rsidR="004D34F2" w:rsidRPr="001632A6" w:rsidRDefault="004D34F2" w:rsidP="00EF0123">
            <w:pPr>
              <w:jc w:val="right"/>
              <w:rPr>
                <w:i/>
                <w:iCs/>
                <w:sz w:val="22"/>
                <w:szCs w:val="22"/>
              </w:rPr>
            </w:pPr>
            <w:r>
              <w:rPr>
                <w:i/>
                <w:iCs/>
                <w:sz w:val="22"/>
                <w:szCs w:val="22"/>
              </w:rPr>
              <w:t>(</w:t>
            </w:r>
            <w:proofErr w:type="gramStart"/>
            <w:r>
              <w:rPr>
                <w:i/>
                <w:iCs/>
                <w:sz w:val="22"/>
                <w:szCs w:val="22"/>
              </w:rPr>
              <w:t>for</w:t>
            </w:r>
            <w:proofErr w:type="gramEnd"/>
            <w:r>
              <w:rPr>
                <w:i/>
                <w:iCs/>
                <w:sz w:val="22"/>
                <w:szCs w:val="22"/>
              </w:rPr>
              <w:t xml:space="preserve"> new programs or large program changes)</w:t>
            </w:r>
          </w:p>
        </w:tc>
        <w:tc>
          <w:tcPr>
            <w:tcW w:w="4250" w:type="dxa"/>
            <w:vAlign w:val="center"/>
          </w:tcPr>
          <w:p w14:paraId="32ADF45F" w14:textId="1A8D088F" w:rsidR="004D34F2" w:rsidRPr="001632A6" w:rsidRDefault="004D34F2" w:rsidP="00447F74">
            <w:pPr>
              <w:rPr>
                <w:sz w:val="22"/>
                <w:szCs w:val="22"/>
              </w:rPr>
            </w:pPr>
            <w:r w:rsidRPr="001632A6">
              <w:rPr>
                <w:sz w:val="22"/>
                <w:szCs w:val="22"/>
              </w:rPr>
              <w:t>Analysis is provided showing no negative impacts on other programs, or the negative impact is documented, justified, and acceptable. A mitigation plan is attached to address those impacts with no unresolved objections.</w:t>
            </w:r>
          </w:p>
        </w:tc>
        <w:tc>
          <w:tcPr>
            <w:tcW w:w="878" w:type="dxa"/>
            <w:vAlign w:val="center"/>
          </w:tcPr>
          <w:p w14:paraId="7E854BBA" w14:textId="57E7FA45" w:rsidR="004D34F2" w:rsidRDefault="004D34F2" w:rsidP="00447F74">
            <w:pPr>
              <w:jc w:val="center"/>
            </w:pPr>
          </w:p>
        </w:tc>
      </w:tr>
      <w:tr w:rsidR="004D34F2" w14:paraId="1BDBB4AC" w14:textId="77777777" w:rsidTr="004D34F2">
        <w:trPr>
          <w:jc w:val="center"/>
        </w:trPr>
        <w:tc>
          <w:tcPr>
            <w:tcW w:w="5005" w:type="dxa"/>
            <w:vAlign w:val="center"/>
          </w:tcPr>
          <w:p w14:paraId="674A627F" w14:textId="6D1290E0" w:rsidR="004D34F2" w:rsidRDefault="004D34F2" w:rsidP="004D34F2">
            <w:pPr>
              <w:jc w:val="right"/>
              <w:rPr>
                <w:i/>
                <w:iCs/>
                <w:sz w:val="22"/>
                <w:szCs w:val="22"/>
              </w:rPr>
            </w:pPr>
            <w:r w:rsidRPr="001632A6">
              <w:rPr>
                <w:i/>
                <w:iCs/>
                <w:sz w:val="22"/>
                <w:szCs w:val="22"/>
              </w:rPr>
              <w:t>Resource support from administration</w:t>
            </w:r>
            <w:r>
              <w:rPr>
                <w:i/>
                <w:iCs/>
                <w:sz w:val="22"/>
                <w:szCs w:val="22"/>
              </w:rPr>
              <w:t xml:space="preserve"> </w:t>
            </w:r>
          </w:p>
          <w:p w14:paraId="5078B588" w14:textId="374182F9" w:rsidR="004D34F2" w:rsidRPr="001632A6" w:rsidRDefault="004D34F2" w:rsidP="004D34F2">
            <w:pPr>
              <w:jc w:val="right"/>
              <w:rPr>
                <w:i/>
                <w:iCs/>
                <w:sz w:val="22"/>
                <w:szCs w:val="22"/>
              </w:rPr>
            </w:pPr>
            <w:r>
              <w:rPr>
                <w:i/>
                <w:iCs/>
                <w:sz w:val="22"/>
                <w:szCs w:val="22"/>
              </w:rPr>
              <w:t>(</w:t>
            </w:r>
            <w:proofErr w:type="gramStart"/>
            <w:r>
              <w:rPr>
                <w:i/>
                <w:iCs/>
                <w:sz w:val="22"/>
                <w:szCs w:val="22"/>
              </w:rPr>
              <w:t>for</w:t>
            </w:r>
            <w:proofErr w:type="gramEnd"/>
            <w:r>
              <w:rPr>
                <w:i/>
                <w:iCs/>
                <w:sz w:val="22"/>
                <w:szCs w:val="22"/>
              </w:rPr>
              <w:t xml:space="preserve"> new programs or large program changes)</w:t>
            </w:r>
          </w:p>
        </w:tc>
        <w:tc>
          <w:tcPr>
            <w:tcW w:w="4250" w:type="dxa"/>
            <w:vAlign w:val="center"/>
          </w:tcPr>
          <w:p w14:paraId="172BC1D1" w14:textId="2CFF614C" w:rsidR="004D34F2" w:rsidRPr="001632A6" w:rsidRDefault="004D34F2" w:rsidP="00447F74">
            <w:pPr>
              <w:rPr>
                <w:sz w:val="22"/>
                <w:szCs w:val="22"/>
              </w:rPr>
            </w:pPr>
            <w:r w:rsidRPr="001632A6">
              <w:rPr>
                <w:sz w:val="22"/>
                <w:szCs w:val="22"/>
              </w:rPr>
              <w:t>No support required, or a plan of support with documented approval of the administration along with budget request information and timelines is provided.</w:t>
            </w:r>
          </w:p>
        </w:tc>
        <w:tc>
          <w:tcPr>
            <w:tcW w:w="878" w:type="dxa"/>
            <w:vAlign w:val="center"/>
          </w:tcPr>
          <w:p w14:paraId="5EF16B9A" w14:textId="093D430A" w:rsidR="004D34F2" w:rsidRDefault="004D34F2" w:rsidP="00447F74">
            <w:pPr>
              <w:jc w:val="center"/>
            </w:pPr>
          </w:p>
        </w:tc>
      </w:tr>
    </w:tbl>
    <w:p w14:paraId="03379F90" w14:textId="77777777" w:rsidR="002C3E64" w:rsidRDefault="002C3E64" w:rsidP="002C3E64">
      <w:pPr>
        <w:jc w:val="center"/>
      </w:pPr>
    </w:p>
    <w:sectPr w:rsidR="002C3E64" w:rsidSect="002C3E6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91011" w14:textId="77777777" w:rsidR="00F75A4A" w:rsidRDefault="00F75A4A" w:rsidP="00E2192B">
      <w:r>
        <w:separator/>
      </w:r>
    </w:p>
  </w:endnote>
  <w:endnote w:type="continuationSeparator" w:id="0">
    <w:p w14:paraId="03C6C2AA" w14:textId="77777777" w:rsidR="00F75A4A" w:rsidRDefault="00F75A4A" w:rsidP="00E2192B">
      <w:r>
        <w:continuationSeparator/>
      </w:r>
    </w:p>
  </w:endnote>
  <w:endnote w:type="continuationNotice" w:id="1">
    <w:p w14:paraId="12B713D2" w14:textId="77777777" w:rsidR="00F75A4A" w:rsidRDefault="00F75A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FEC41" w14:textId="77777777" w:rsidR="00F75A4A" w:rsidRDefault="00F75A4A" w:rsidP="00E2192B">
      <w:r>
        <w:separator/>
      </w:r>
    </w:p>
  </w:footnote>
  <w:footnote w:type="continuationSeparator" w:id="0">
    <w:p w14:paraId="1A0CD82C" w14:textId="77777777" w:rsidR="00F75A4A" w:rsidRDefault="00F75A4A" w:rsidP="00E2192B">
      <w:r>
        <w:continuationSeparator/>
      </w:r>
    </w:p>
  </w:footnote>
  <w:footnote w:type="continuationNotice" w:id="1">
    <w:p w14:paraId="67F575D7" w14:textId="77777777" w:rsidR="00F75A4A" w:rsidRDefault="00F75A4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65600"/>
    <w:multiLevelType w:val="hybridMultilevel"/>
    <w:tmpl w:val="CB0C37F8"/>
    <w:lvl w:ilvl="0" w:tplc="411085A0">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7597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E64"/>
    <w:rsid w:val="00011842"/>
    <w:rsid w:val="000255FE"/>
    <w:rsid w:val="0003115E"/>
    <w:rsid w:val="00033C1B"/>
    <w:rsid w:val="000472D7"/>
    <w:rsid w:val="000475EA"/>
    <w:rsid w:val="00053BA6"/>
    <w:rsid w:val="00064060"/>
    <w:rsid w:val="00067466"/>
    <w:rsid w:val="0008034E"/>
    <w:rsid w:val="00080ACC"/>
    <w:rsid w:val="000958DC"/>
    <w:rsid w:val="000F49F8"/>
    <w:rsid w:val="0011246A"/>
    <w:rsid w:val="001258C3"/>
    <w:rsid w:val="001524C5"/>
    <w:rsid w:val="0015514A"/>
    <w:rsid w:val="001575EE"/>
    <w:rsid w:val="001632A6"/>
    <w:rsid w:val="00173B42"/>
    <w:rsid w:val="001A2588"/>
    <w:rsid w:val="001D0D62"/>
    <w:rsid w:val="00227583"/>
    <w:rsid w:val="00252D1B"/>
    <w:rsid w:val="00283BEF"/>
    <w:rsid w:val="002C3E64"/>
    <w:rsid w:val="002E6FDA"/>
    <w:rsid w:val="00301348"/>
    <w:rsid w:val="00320AE7"/>
    <w:rsid w:val="00330590"/>
    <w:rsid w:val="00336BF2"/>
    <w:rsid w:val="00341949"/>
    <w:rsid w:val="003A6BDF"/>
    <w:rsid w:val="003B6C96"/>
    <w:rsid w:val="003C3A76"/>
    <w:rsid w:val="003D427F"/>
    <w:rsid w:val="003E1DD8"/>
    <w:rsid w:val="004203E1"/>
    <w:rsid w:val="00447F74"/>
    <w:rsid w:val="00466A15"/>
    <w:rsid w:val="00482459"/>
    <w:rsid w:val="00496B71"/>
    <w:rsid w:val="004D34F2"/>
    <w:rsid w:val="004E528D"/>
    <w:rsid w:val="004F3897"/>
    <w:rsid w:val="005540EF"/>
    <w:rsid w:val="00554ED4"/>
    <w:rsid w:val="00582E6A"/>
    <w:rsid w:val="005B46C4"/>
    <w:rsid w:val="00626EFD"/>
    <w:rsid w:val="006625B2"/>
    <w:rsid w:val="00664A64"/>
    <w:rsid w:val="00684D77"/>
    <w:rsid w:val="0069184E"/>
    <w:rsid w:val="00692B6E"/>
    <w:rsid w:val="0069341D"/>
    <w:rsid w:val="006A162F"/>
    <w:rsid w:val="006A35A2"/>
    <w:rsid w:val="007356FF"/>
    <w:rsid w:val="00797EDF"/>
    <w:rsid w:val="007B6B70"/>
    <w:rsid w:val="007C1827"/>
    <w:rsid w:val="007D2B3B"/>
    <w:rsid w:val="00811067"/>
    <w:rsid w:val="00851848"/>
    <w:rsid w:val="00892D2F"/>
    <w:rsid w:val="008E6772"/>
    <w:rsid w:val="00922D40"/>
    <w:rsid w:val="00926740"/>
    <w:rsid w:val="009420B0"/>
    <w:rsid w:val="0094383A"/>
    <w:rsid w:val="0094601E"/>
    <w:rsid w:val="0094F130"/>
    <w:rsid w:val="00950AE4"/>
    <w:rsid w:val="009672A8"/>
    <w:rsid w:val="00994E4F"/>
    <w:rsid w:val="009D13B5"/>
    <w:rsid w:val="00A27204"/>
    <w:rsid w:val="00A32514"/>
    <w:rsid w:val="00A72C79"/>
    <w:rsid w:val="00A76A3A"/>
    <w:rsid w:val="00AA1FAC"/>
    <w:rsid w:val="00AB2C54"/>
    <w:rsid w:val="00AB7185"/>
    <w:rsid w:val="00AD03E6"/>
    <w:rsid w:val="00AE05B7"/>
    <w:rsid w:val="00AF2F8C"/>
    <w:rsid w:val="00AF7481"/>
    <w:rsid w:val="00B0678F"/>
    <w:rsid w:val="00B13A4A"/>
    <w:rsid w:val="00B3125C"/>
    <w:rsid w:val="00B44721"/>
    <w:rsid w:val="00BA4590"/>
    <w:rsid w:val="00BB5404"/>
    <w:rsid w:val="00BE6721"/>
    <w:rsid w:val="00BE6BCC"/>
    <w:rsid w:val="00BE764A"/>
    <w:rsid w:val="00BF4B17"/>
    <w:rsid w:val="00BFFA04"/>
    <w:rsid w:val="00C144E0"/>
    <w:rsid w:val="00C35BC6"/>
    <w:rsid w:val="00C45B17"/>
    <w:rsid w:val="00C64F8E"/>
    <w:rsid w:val="00C81D1D"/>
    <w:rsid w:val="00CA4791"/>
    <w:rsid w:val="00CB1BEA"/>
    <w:rsid w:val="00CD3675"/>
    <w:rsid w:val="00CD5948"/>
    <w:rsid w:val="00CE4544"/>
    <w:rsid w:val="00CF4D09"/>
    <w:rsid w:val="00D3437F"/>
    <w:rsid w:val="00D36525"/>
    <w:rsid w:val="00D413BF"/>
    <w:rsid w:val="00D462BC"/>
    <w:rsid w:val="00DA2364"/>
    <w:rsid w:val="00DA6797"/>
    <w:rsid w:val="00DA750E"/>
    <w:rsid w:val="00DB292F"/>
    <w:rsid w:val="00DB483A"/>
    <w:rsid w:val="00DB6693"/>
    <w:rsid w:val="00DE5F20"/>
    <w:rsid w:val="00E2192B"/>
    <w:rsid w:val="00E60979"/>
    <w:rsid w:val="00E63B78"/>
    <w:rsid w:val="00E65710"/>
    <w:rsid w:val="00E6694C"/>
    <w:rsid w:val="00E74E6C"/>
    <w:rsid w:val="00E86D14"/>
    <w:rsid w:val="00EB44C8"/>
    <w:rsid w:val="00EC0981"/>
    <w:rsid w:val="00EE48BD"/>
    <w:rsid w:val="00EE72D1"/>
    <w:rsid w:val="00EF0123"/>
    <w:rsid w:val="00F35672"/>
    <w:rsid w:val="00F46F7E"/>
    <w:rsid w:val="00F71A81"/>
    <w:rsid w:val="00F75A4A"/>
    <w:rsid w:val="00FA3290"/>
    <w:rsid w:val="00FB1116"/>
    <w:rsid w:val="00FB73AE"/>
    <w:rsid w:val="00FF0041"/>
    <w:rsid w:val="00FF4918"/>
    <w:rsid w:val="00FFF4CF"/>
    <w:rsid w:val="0116085F"/>
    <w:rsid w:val="01195EBB"/>
    <w:rsid w:val="02A1C6C5"/>
    <w:rsid w:val="02E1488B"/>
    <w:rsid w:val="0352947F"/>
    <w:rsid w:val="04709485"/>
    <w:rsid w:val="04741C53"/>
    <w:rsid w:val="04783595"/>
    <w:rsid w:val="04855CD5"/>
    <w:rsid w:val="048DCFE3"/>
    <w:rsid w:val="05224767"/>
    <w:rsid w:val="058D6BA8"/>
    <w:rsid w:val="05D1CF40"/>
    <w:rsid w:val="05DA84AC"/>
    <w:rsid w:val="0654AC59"/>
    <w:rsid w:val="0663937E"/>
    <w:rsid w:val="06B4044B"/>
    <w:rsid w:val="06F5E3D3"/>
    <w:rsid w:val="0759F647"/>
    <w:rsid w:val="076A6A71"/>
    <w:rsid w:val="0789AC55"/>
    <w:rsid w:val="08208895"/>
    <w:rsid w:val="089BA758"/>
    <w:rsid w:val="08D48040"/>
    <w:rsid w:val="09226DA5"/>
    <w:rsid w:val="097E7B60"/>
    <w:rsid w:val="09B00DC0"/>
    <w:rsid w:val="09FB4262"/>
    <w:rsid w:val="0A2F1842"/>
    <w:rsid w:val="0A4B4988"/>
    <w:rsid w:val="0AF53B02"/>
    <w:rsid w:val="0B0CEB78"/>
    <w:rsid w:val="0BA9431D"/>
    <w:rsid w:val="0C15D55F"/>
    <w:rsid w:val="0C36651F"/>
    <w:rsid w:val="0C938F96"/>
    <w:rsid w:val="0D60EA39"/>
    <w:rsid w:val="0E1B6C06"/>
    <w:rsid w:val="0E1C78E1"/>
    <w:rsid w:val="0ED65055"/>
    <w:rsid w:val="0EDA1787"/>
    <w:rsid w:val="0FF26870"/>
    <w:rsid w:val="103F4CB4"/>
    <w:rsid w:val="10B6C466"/>
    <w:rsid w:val="10D9A287"/>
    <w:rsid w:val="1119FF12"/>
    <w:rsid w:val="11CBFC29"/>
    <w:rsid w:val="1269BCA4"/>
    <w:rsid w:val="12ABE509"/>
    <w:rsid w:val="13D90965"/>
    <w:rsid w:val="142BEAB3"/>
    <w:rsid w:val="147D2263"/>
    <w:rsid w:val="14BCBDC5"/>
    <w:rsid w:val="15203910"/>
    <w:rsid w:val="15560C18"/>
    <w:rsid w:val="15801742"/>
    <w:rsid w:val="158B6E60"/>
    <w:rsid w:val="16153C54"/>
    <w:rsid w:val="16577389"/>
    <w:rsid w:val="1683A9D8"/>
    <w:rsid w:val="16D53E02"/>
    <w:rsid w:val="1772641E"/>
    <w:rsid w:val="17BCB693"/>
    <w:rsid w:val="17C57184"/>
    <w:rsid w:val="1884A25F"/>
    <w:rsid w:val="19B62D85"/>
    <w:rsid w:val="19DF8C85"/>
    <w:rsid w:val="1A1E9593"/>
    <w:rsid w:val="1A32B5BB"/>
    <w:rsid w:val="1AD741BD"/>
    <w:rsid w:val="1B067128"/>
    <w:rsid w:val="1B193D03"/>
    <w:rsid w:val="1B45306D"/>
    <w:rsid w:val="1B45B348"/>
    <w:rsid w:val="1B5CAC1D"/>
    <w:rsid w:val="1B62CA1C"/>
    <w:rsid w:val="1BD162FB"/>
    <w:rsid w:val="1C18D34C"/>
    <w:rsid w:val="1C2373A6"/>
    <w:rsid w:val="1CDA7885"/>
    <w:rsid w:val="1CEA972A"/>
    <w:rsid w:val="1D57BA7E"/>
    <w:rsid w:val="1DC427B4"/>
    <w:rsid w:val="1DEBBB4D"/>
    <w:rsid w:val="1DF04CEF"/>
    <w:rsid w:val="2010423C"/>
    <w:rsid w:val="20606B73"/>
    <w:rsid w:val="20A511BD"/>
    <w:rsid w:val="20B0165F"/>
    <w:rsid w:val="20B47256"/>
    <w:rsid w:val="20E0AAF0"/>
    <w:rsid w:val="20E5A77E"/>
    <w:rsid w:val="216D7C58"/>
    <w:rsid w:val="221A89FF"/>
    <w:rsid w:val="227C5DAD"/>
    <w:rsid w:val="22887758"/>
    <w:rsid w:val="22A6B4CD"/>
    <w:rsid w:val="22FD3A97"/>
    <w:rsid w:val="232EF890"/>
    <w:rsid w:val="24AC8359"/>
    <w:rsid w:val="24FD48BE"/>
    <w:rsid w:val="2586EC23"/>
    <w:rsid w:val="259B7519"/>
    <w:rsid w:val="25B68488"/>
    <w:rsid w:val="25C1EBA8"/>
    <w:rsid w:val="260ED4F6"/>
    <w:rsid w:val="26332FF2"/>
    <w:rsid w:val="26900EEC"/>
    <w:rsid w:val="276E1A35"/>
    <w:rsid w:val="28056335"/>
    <w:rsid w:val="284E0D56"/>
    <w:rsid w:val="289A32BA"/>
    <w:rsid w:val="28D76DFE"/>
    <w:rsid w:val="29C67B0F"/>
    <w:rsid w:val="2A0DAD9D"/>
    <w:rsid w:val="2A505A8F"/>
    <w:rsid w:val="2A6E0131"/>
    <w:rsid w:val="2AB35FA7"/>
    <w:rsid w:val="2B09D687"/>
    <w:rsid w:val="2B51B94A"/>
    <w:rsid w:val="2BE7630B"/>
    <w:rsid w:val="2C1088F1"/>
    <w:rsid w:val="2C35D43B"/>
    <w:rsid w:val="2C7124CD"/>
    <w:rsid w:val="2CBB79A8"/>
    <w:rsid w:val="2CBC7250"/>
    <w:rsid w:val="2CC1EC21"/>
    <w:rsid w:val="2CE834EC"/>
    <w:rsid w:val="2D3475BD"/>
    <w:rsid w:val="2E972984"/>
    <w:rsid w:val="2F512CB7"/>
    <w:rsid w:val="2F84CB77"/>
    <w:rsid w:val="2FC1E087"/>
    <w:rsid w:val="3005048B"/>
    <w:rsid w:val="3018B665"/>
    <w:rsid w:val="30248ED3"/>
    <w:rsid w:val="3070CFAC"/>
    <w:rsid w:val="3073158F"/>
    <w:rsid w:val="3116D183"/>
    <w:rsid w:val="31776314"/>
    <w:rsid w:val="31EBD6D9"/>
    <w:rsid w:val="32A99DCC"/>
    <w:rsid w:val="32E363BD"/>
    <w:rsid w:val="331B3D70"/>
    <w:rsid w:val="333844B0"/>
    <w:rsid w:val="33BBCFC3"/>
    <w:rsid w:val="33E01001"/>
    <w:rsid w:val="3420562E"/>
    <w:rsid w:val="349DF917"/>
    <w:rsid w:val="34A86599"/>
    <w:rsid w:val="34AEBCB4"/>
    <w:rsid w:val="34F75F5A"/>
    <w:rsid w:val="3535BFD6"/>
    <w:rsid w:val="3573F1B1"/>
    <w:rsid w:val="35DD88ED"/>
    <w:rsid w:val="362D5FFE"/>
    <w:rsid w:val="364E0CD5"/>
    <w:rsid w:val="36628CD1"/>
    <w:rsid w:val="36EB42B7"/>
    <w:rsid w:val="370F1F62"/>
    <w:rsid w:val="37585E7B"/>
    <w:rsid w:val="3769AC05"/>
    <w:rsid w:val="379CF7AE"/>
    <w:rsid w:val="37C615FF"/>
    <w:rsid w:val="380E12B8"/>
    <w:rsid w:val="382F97C8"/>
    <w:rsid w:val="3863D6AE"/>
    <w:rsid w:val="38E17EC4"/>
    <w:rsid w:val="396C0AB3"/>
    <w:rsid w:val="39B3E524"/>
    <w:rsid w:val="3A12A3AC"/>
    <w:rsid w:val="3A54797F"/>
    <w:rsid w:val="3ABCBB9C"/>
    <w:rsid w:val="3B22FBBD"/>
    <w:rsid w:val="3B8F9300"/>
    <w:rsid w:val="3C19EAA3"/>
    <w:rsid w:val="3C90E108"/>
    <w:rsid w:val="3D13F4AA"/>
    <w:rsid w:val="3D2BFAD3"/>
    <w:rsid w:val="3D2F0548"/>
    <w:rsid w:val="3DBC973E"/>
    <w:rsid w:val="3DF409EC"/>
    <w:rsid w:val="3E02A318"/>
    <w:rsid w:val="3EA43C22"/>
    <w:rsid w:val="3EA9F623"/>
    <w:rsid w:val="3EDE407B"/>
    <w:rsid w:val="3F35BEDA"/>
    <w:rsid w:val="3F812932"/>
    <w:rsid w:val="3FC275A4"/>
    <w:rsid w:val="3FD50DEE"/>
    <w:rsid w:val="40343A33"/>
    <w:rsid w:val="406B2660"/>
    <w:rsid w:val="40CACF62"/>
    <w:rsid w:val="40D4AEFB"/>
    <w:rsid w:val="410811A1"/>
    <w:rsid w:val="41089A49"/>
    <w:rsid w:val="41B85689"/>
    <w:rsid w:val="42247CDE"/>
    <w:rsid w:val="42266ED5"/>
    <w:rsid w:val="42707707"/>
    <w:rsid w:val="4282F53A"/>
    <w:rsid w:val="42BCA33C"/>
    <w:rsid w:val="42F0245A"/>
    <w:rsid w:val="42FEFD84"/>
    <w:rsid w:val="43829173"/>
    <w:rsid w:val="43859AE6"/>
    <w:rsid w:val="43D50ACB"/>
    <w:rsid w:val="43F9E011"/>
    <w:rsid w:val="4419CBB3"/>
    <w:rsid w:val="44902211"/>
    <w:rsid w:val="449BE64B"/>
    <w:rsid w:val="44E7133C"/>
    <w:rsid w:val="46A8A469"/>
    <w:rsid w:val="46C6F8C9"/>
    <w:rsid w:val="46DC0E69"/>
    <w:rsid w:val="478D7150"/>
    <w:rsid w:val="47C8FA5B"/>
    <w:rsid w:val="48840982"/>
    <w:rsid w:val="48955CE9"/>
    <w:rsid w:val="48C4AFFE"/>
    <w:rsid w:val="48CF56BA"/>
    <w:rsid w:val="492BF015"/>
    <w:rsid w:val="49E49AD7"/>
    <w:rsid w:val="49F2F373"/>
    <w:rsid w:val="4A00AC86"/>
    <w:rsid w:val="4A32DBD3"/>
    <w:rsid w:val="4A5DA31E"/>
    <w:rsid w:val="4A6BC968"/>
    <w:rsid w:val="4B8E61EE"/>
    <w:rsid w:val="4BBC66B2"/>
    <w:rsid w:val="4BD32DAE"/>
    <w:rsid w:val="4C9F4F00"/>
    <w:rsid w:val="4CE88979"/>
    <w:rsid w:val="4CEED4C7"/>
    <w:rsid w:val="4D950158"/>
    <w:rsid w:val="4D9C83EC"/>
    <w:rsid w:val="4E055BBA"/>
    <w:rsid w:val="4E76F744"/>
    <w:rsid w:val="4EC7B2C4"/>
    <w:rsid w:val="4ED91601"/>
    <w:rsid w:val="4EF9D4F7"/>
    <w:rsid w:val="4F5C245C"/>
    <w:rsid w:val="4FACAE5B"/>
    <w:rsid w:val="4FD4E9CF"/>
    <w:rsid w:val="4FE2567C"/>
    <w:rsid w:val="5019F954"/>
    <w:rsid w:val="50F8D48F"/>
    <w:rsid w:val="51164C92"/>
    <w:rsid w:val="5141342A"/>
    <w:rsid w:val="52EF2DDF"/>
    <w:rsid w:val="531A88BB"/>
    <w:rsid w:val="532CD1D2"/>
    <w:rsid w:val="53586EFE"/>
    <w:rsid w:val="538364F1"/>
    <w:rsid w:val="53D0D267"/>
    <w:rsid w:val="540A1F65"/>
    <w:rsid w:val="5429EA4C"/>
    <w:rsid w:val="5457A4FE"/>
    <w:rsid w:val="546D7277"/>
    <w:rsid w:val="548F4FB7"/>
    <w:rsid w:val="55086590"/>
    <w:rsid w:val="550E6315"/>
    <w:rsid w:val="551D757E"/>
    <w:rsid w:val="555CBE49"/>
    <w:rsid w:val="55AE2E46"/>
    <w:rsid w:val="55DC678D"/>
    <w:rsid w:val="56134061"/>
    <w:rsid w:val="56B58D4E"/>
    <w:rsid w:val="56F90170"/>
    <w:rsid w:val="573B7FF0"/>
    <w:rsid w:val="5754407C"/>
    <w:rsid w:val="57F5C332"/>
    <w:rsid w:val="5893610A"/>
    <w:rsid w:val="5976A592"/>
    <w:rsid w:val="598ABDE1"/>
    <w:rsid w:val="5990C47F"/>
    <w:rsid w:val="59AC45CE"/>
    <w:rsid w:val="5A07334F"/>
    <w:rsid w:val="5A9CF4D7"/>
    <w:rsid w:val="5AD6A943"/>
    <w:rsid w:val="5AEFDBB2"/>
    <w:rsid w:val="5CFFE4DC"/>
    <w:rsid w:val="5D7DD5E4"/>
    <w:rsid w:val="5D8B9719"/>
    <w:rsid w:val="5D9D90A8"/>
    <w:rsid w:val="5DC3EB8B"/>
    <w:rsid w:val="5DD7D0F0"/>
    <w:rsid w:val="5DFF0D1E"/>
    <w:rsid w:val="5E091E93"/>
    <w:rsid w:val="5E64915F"/>
    <w:rsid w:val="5EEBEC25"/>
    <w:rsid w:val="5F1B9DA6"/>
    <w:rsid w:val="5F201AB3"/>
    <w:rsid w:val="5F219109"/>
    <w:rsid w:val="5F6D0D59"/>
    <w:rsid w:val="5FCAE7BD"/>
    <w:rsid w:val="604FA037"/>
    <w:rsid w:val="6064D661"/>
    <w:rsid w:val="60CF5387"/>
    <w:rsid w:val="612014B8"/>
    <w:rsid w:val="614326BB"/>
    <w:rsid w:val="619772C7"/>
    <w:rsid w:val="62451DB6"/>
    <w:rsid w:val="6315B8CB"/>
    <w:rsid w:val="63679082"/>
    <w:rsid w:val="64025763"/>
    <w:rsid w:val="649566A3"/>
    <w:rsid w:val="6567BD26"/>
    <w:rsid w:val="65704CD2"/>
    <w:rsid w:val="6581D04F"/>
    <w:rsid w:val="664E9DC6"/>
    <w:rsid w:val="66DC1AF2"/>
    <w:rsid w:val="66F4D5DD"/>
    <w:rsid w:val="6720911F"/>
    <w:rsid w:val="6751A5D8"/>
    <w:rsid w:val="6768BAC3"/>
    <w:rsid w:val="67DD6EFF"/>
    <w:rsid w:val="67EF4A49"/>
    <w:rsid w:val="68233922"/>
    <w:rsid w:val="683EFFE1"/>
    <w:rsid w:val="68558C9F"/>
    <w:rsid w:val="6875C949"/>
    <w:rsid w:val="687C2C0F"/>
    <w:rsid w:val="6959FD56"/>
    <w:rsid w:val="698ACE17"/>
    <w:rsid w:val="69BD48FF"/>
    <w:rsid w:val="6A2FF4A4"/>
    <w:rsid w:val="6A55D160"/>
    <w:rsid w:val="6A60BD2B"/>
    <w:rsid w:val="6A7C57F3"/>
    <w:rsid w:val="6AF5049F"/>
    <w:rsid w:val="6B8F7A66"/>
    <w:rsid w:val="6BCA9CBF"/>
    <w:rsid w:val="6C034006"/>
    <w:rsid w:val="6C45217E"/>
    <w:rsid w:val="6C8ED66A"/>
    <w:rsid w:val="6CBB16DB"/>
    <w:rsid w:val="6D1A0AAB"/>
    <w:rsid w:val="6D64D556"/>
    <w:rsid w:val="6D6934BD"/>
    <w:rsid w:val="6D8949B2"/>
    <w:rsid w:val="6E5042F5"/>
    <w:rsid w:val="6E5C086E"/>
    <w:rsid w:val="6E603F45"/>
    <w:rsid w:val="6EF6BCB5"/>
    <w:rsid w:val="6F17C3D5"/>
    <w:rsid w:val="6F1AE98E"/>
    <w:rsid w:val="6F212865"/>
    <w:rsid w:val="6FAA9524"/>
    <w:rsid w:val="6FF05892"/>
    <w:rsid w:val="70240E7F"/>
    <w:rsid w:val="7151AF39"/>
    <w:rsid w:val="71C82B6A"/>
    <w:rsid w:val="71D92C73"/>
    <w:rsid w:val="72C73B1C"/>
    <w:rsid w:val="72CDE8A1"/>
    <w:rsid w:val="73150186"/>
    <w:rsid w:val="7373B1D6"/>
    <w:rsid w:val="74803598"/>
    <w:rsid w:val="74B208C5"/>
    <w:rsid w:val="750FFB0E"/>
    <w:rsid w:val="754CA627"/>
    <w:rsid w:val="755223A0"/>
    <w:rsid w:val="75908961"/>
    <w:rsid w:val="76B348E7"/>
    <w:rsid w:val="76EC849D"/>
    <w:rsid w:val="7742888E"/>
    <w:rsid w:val="77E0F0A1"/>
    <w:rsid w:val="782AEF2B"/>
    <w:rsid w:val="783E75ED"/>
    <w:rsid w:val="787A0E21"/>
    <w:rsid w:val="78A3A30F"/>
    <w:rsid w:val="78A5334F"/>
    <w:rsid w:val="78D01C5C"/>
    <w:rsid w:val="78D64EF5"/>
    <w:rsid w:val="78F093D3"/>
    <w:rsid w:val="78FC1570"/>
    <w:rsid w:val="792A0E34"/>
    <w:rsid w:val="797726EE"/>
    <w:rsid w:val="797F0DA0"/>
    <w:rsid w:val="799CCB17"/>
    <w:rsid w:val="79C575B5"/>
    <w:rsid w:val="79E753B2"/>
    <w:rsid w:val="79F3564B"/>
    <w:rsid w:val="7A4D4091"/>
    <w:rsid w:val="7A5E4C36"/>
    <w:rsid w:val="7A93ACB5"/>
    <w:rsid w:val="7ADE7C11"/>
    <w:rsid w:val="7B7B9FEC"/>
    <w:rsid w:val="7C749941"/>
    <w:rsid w:val="7C7F82AD"/>
    <w:rsid w:val="7C8C12D7"/>
    <w:rsid w:val="7CC65609"/>
    <w:rsid w:val="7D52273A"/>
    <w:rsid w:val="7DBC3014"/>
    <w:rsid w:val="7E3BABF0"/>
    <w:rsid w:val="7E7ACA6F"/>
    <w:rsid w:val="7FD8C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4D4A2"/>
  <w15:docId w15:val="{F6D38DE7-7384-4220-9689-217DD4332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laudia"/>
    <w:qFormat/>
    <w:rsid w:val="00AB2C54"/>
    <w:pPr>
      <w:spacing w:after="0" w:line="240" w:lineRule="auto"/>
    </w:pPr>
    <w:rPr>
      <w:rFonts w:ascii="Times New Roman" w:hAnsi="Times New Roman"/>
      <w:sz w:val="24"/>
      <w:szCs w:val="24"/>
    </w:rPr>
  </w:style>
  <w:style w:type="paragraph" w:styleId="Heading1">
    <w:name w:val="heading 1"/>
    <w:basedOn w:val="Normal"/>
    <w:next w:val="Normal"/>
    <w:link w:val="Heading1Char"/>
    <w:uiPriority w:val="9"/>
    <w:qFormat/>
    <w:rsid w:val="0006406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6406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6406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6406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6406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6406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6406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6406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6406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Stanny Format"/>
    <w:basedOn w:val="Normal"/>
    <w:uiPriority w:val="1"/>
    <w:qFormat/>
    <w:rsid w:val="00064060"/>
  </w:style>
  <w:style w:type="character" w:customStyle="1" w:styleId="Heading1Char">
    <w:name w:val="Heading 1 Char"/>
    <w:basedOn w:val="DefaultParagraphFont"/>
    <w:link w:val="Heading1"/>
    <w:uiPriority w:val="9"/>
    <w:rsid w:val="0006406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6406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64060"/>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064060"/>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064060"/>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064060"/>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sid w:val="00064060"/>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06406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6406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20AE7"/>
    <w:pPr>
      <w:spacing w:after="200"/>
    </w:pPr>
    <w:rPr>
      <w:b/>
      <w:bCs/>
      <w:color w:val="4F81BD" w:themeColor="accent1"/>
      <w:sz w:val="18"/>
      <w:szCs w:val="18"/>
    </w:rPr>
  </w:style>
  <w:style w:type="paragraph" w:styleId="Title">
    <w:name w:val="Title"/>
    <w:basedOn w:val="Normal"/>
    <w:next w:val="Normal"/>
    <w:link w:val="TitleChar"/>
    <w:uiPriority w:val="10"/>
    <w:qFormat/>
    <w:rsid w:val="0006406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64060"/>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064060"/>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064060"/>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064060"/>
    <w:rPr>
      <w:b/>
      <w:bCs/>
    </w:rPr>
  </w:style>
  <w:style w:type="character" w:styleId="Emphasis">
    <w:name w:val="Emphasis"/>
    <w:uiPriority w:val="20"/>
    <w:qFormat/>
    <w:rsid w:val="00064060"/>
    <w:rPr>
      <w:i/>
      <w:iCs/>
    </w:rPr>
  </w:style>
  <w:style w:type="paragraph" w:styleId="ListParagraph">
    <w:name w:val="List Paragraph"/>
    <w:basedOn w:val="Normal"/>
    <w:uiPriority w:val="34"/>
    <w:qFormat/>
    <w:rsid w:val="00064060"/>
    <w:pPr>
      <w:ind w:left="720"/>
      <w:contextualSpacing/>
    </w:pPr>
  </w:style>
  <w:style w:type="paragraph" w:styleId="Quote">
    <w:name w:val="Quote"/>
    <w:basedOn w:val="Normal"/>
    <w:next w:val="Normal"/>
    <w:link w:val="QuoteChar"/>
    <w:uiPriority w:val="29"/>
    <w:qFormat/>
    <w:rsid w:val="00064060"/>
    <w:rPr>
      <w:i/>
      <w:iCs/>
      <w:color w:val="000000" w:themeColor="text1"/>
    </w:rPr>
  </w:style>
  <w:style w:type="character" w:customStyle="1" w:styleId="QuoteChar">
    <w:name w:val="Quote Char"/>
    <w:basedOn w:val="DefaultParagraphFont"/>
    <w:link w:val="Quote"/>
    <w:uiPriority w:val="29"/>
    <w:rsid w:val="00064060"/>
    <w:rPr>
      <w:rFonts w:ascii="Times New Roman" w:hAnsi="Times New Roman"/>
      <w:i/>
      <w:iCs/>
      <w:color w:val="000000" w:themeColor="text1"/>
      <w:sz w:val="24"/>
      <w:szCs w:val="24"/>
    </w:rPr>
  </w:style>
  <w:style w:type="paragraph" w:styleId="IntenseQuote">
    <w:name w:val="Intense Quote"/>
    <w:basedOn w:val="Normal"/>
    <w:next w:val="Normal"/>
    <w:link w:val="IntenseQuoteChar"/>
    <w:uiPriority w:val="30"/>
    <w:qFormat/>
    <w:rsid w:val="0006406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64060"/>
    <w:rPr>
      <w:rFonts w:ascii="Times New Roman" w:hAnsi="Times New Roman"/>
      <w:b/>
      <w:bCs/>
      <w:i/>
      <w:iCs/>
      <w:color w:val="4F81BD" w:themeColor="accent1"/>
      <w:sz w:val="24"/>
      <w:szCs w:val="24"/>
    </w:rPr>
  </w:style>
  <w:style w:type="character" w:styleId="SubtleEmphasis">
    <w:name w:val="Subtle Emphasis"/>
    <w:uiPriority w:val="19"/>
    <w:qFormat/>
    <w:rsid w:val="00064060"/>
    <w:rPr>
      <w:i/>
      <w:iCs/>
      <w:color w:val="808080" w:themeColor="text1" w:themeTint="7F"/>
    </w:rPr>
  </w:style>
  <w:style w:type="character" w:styleId="IntenseEmphasis">
    <w:name w:val="Intense Emphasis"/>
    <w:uiPriority w:val="21"/>
    <w:qFormat/>
    <w:rsid w:val="00064060"/>
    <w:rPr>
      <w:b/>
      <w:bCs/>
      <w:i/>
      <w:iCs/>
      <w:color w:val="4F81BD" w:themeColor="accent1"/>
    </w:rPr>
  </w:style>
  <w:style w:type="character" w:styleId="SubtleReference">
    <w:name w:val="Subtle Reference"/>
    <w:uiPriority w:val="31"/>
    <w:qFormat/>
    <w:rsid w:val="00064060"/>
    <w:rPr>
      <w:smallCaps/>
      <w:color w:val="C0504D" w:themeColor="accent2"/>
      <w:u w:val="single"/>
    </w:rPr>
  </w:style>
  <w:style w:type="character" w:styleId="IntenseReference">
    <w:name w:val="Intense Reference"/>
    <w:uiPriority w:val="32"/>
    <w:qFormat/>
    <w:rsid w:val="00064060"/>
    <w:rPr>
      <w:b/>
      <w:bCs/>
      <w:smallCaps/>
      <w:color w:val="C0504D" w:themeColor="accent2"/>
      <w:spacing w:val="5"/>
      <w:u w:val="single"/>
    </w:rPr>
  </w:style>
  <w:style w:type="character" w:styleId="BookTitle">
    <w:name w:val="Book Title"/>
    <w:uiPriority w:val="33"/>
    <w:qFormat/>
    <w:rsid w:val="00064060"/>
    <w:rPr>
      <w:b/>
      <w:bCs/>
      <w:smallCaps/>
      <w:spacing w:val="5"/>
    </w:rPr>
  </w:style>
  <w:style w:type="paragraph" w:styleId="TOCHeading">
    <w:name w:val="TOC Heading"/>
    <w:basedOn w:val="Heading1"/>
    <w:next w:val="Normal"/>
    <w:uiPriority w:val="39"/>
    <w:semiHidden/>
    <w:unhideWhenUsed/>
    <w:qFormat/>
    <w:rsid w:val="00064060"/>
    <w:pPr>
      <w:outlineLvl w:val="9"/>
    </w:pPr>
  </w:style>
  <w:style w:type="table" w:styleId="TableGrid">
    <w:name w:val="Table Grid"/>
    <w:basedOn w:val="TableNormal"/>
    <w:uiPriority w:val="59"/>
    <w:rsid w:val="002C3E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2192B"/>
    <w:pPr>
      <w:tabs>
        <w:tab w:val="center" w:pos="4680"/>
        <w:tab w:val="right" w:pos="9360"/>
      </w:tabs>
    </w:pPr>
  </w:style>
  <w:style w:type="character" w:customStyle="1" w:styleId="HeaderChar">
    <w:name w:val="Header Char"/>
    <w:basedOn w:val="DefaultParagraphFont"/>
    <w:link w:val="Header"/>
    <w:uiPriority w:val="99"/>
    <w:rsid w:val="00E2192B"/>
    <w:rPr>
      <w:rFonts w:ascii="Times New Roman" w:hAnsi="Times New Roman"/>
      <w:sz w:val="24"/>
      <w:szCs w:val="24"/>
    </w:rPr>
  </w:style>
  <w:style w:type="paragraph" w:styleId="Footer">
    <w:name w:val="footer"/>
    <w:basedOn w:val="Normal"/>
    <w:link w:val="FooterChar"/>
    <w:uiPriority w:val="99"/>
    <w:unhideWhenUsed/>
    <w:rsid w:val="00E2192B"/>
    <w:pPr>
      <w:tabs>
        <w:tab w:val="center" w:pos="4680"/>
        <w:tab w:val="right" w:pos="9360"/>
      </w:tabs>
    </w:pPr>
  </w:style>
  <w:style w:type="character" w:customStyle="1" w:styleId="FooterChar">
    <w:name w:val="Footer Char"/>
    <w:basedOn w:val="DefaultParagraphFont"/>
    <w:link w:val="Footer"/>
    <w:uiPriority w:val="99"/>
    <w:rsid w:val="00E2192B"/>
    <w:rPr>
      <w:rFonts w:ascii="Times New Roman" w:hAnsi="Times New Roman"/>
      <w:sz w:val="24"/>
      <w:szCs w:val="24"/>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60979"/>
    <w:rPr>
      <w:b/>
      <w:bCs/>
    </w:rPr>
  </w:style>
  <w:style w:type="character" w:customStyle="1" w:styleId="CommentSubjectChar">
    <w:name w:val="Comment Subject Char"/>
    <w:basedOn w:val="CommentTextChar"/>
    <w:link w:val="CommentSubject"/>
    <w:uiPriority w:val="99"/>
    <w:semiHidden/>
    <w:rsid w:val="00E60979"/>
    <w:rPr>
      <w:rFonts w:ascii="Times New Roman" w:hAnsi="Times New Roman"/>
      <w:b/>
      <w:bCs/>
      <w:sz w:val="20"/>
      <w:szCs w:val="20"/>
    </w:rPr>
  </w:style>
  <w:style w:type="paragraph" w:styleId="BalloonText">
    <w:name w:val="Balloon Text"/>
    <w:basedOn w:val="Normal"/>
    <w:link w:val="BalloonTextChar"/>
    <w:uiPriority w:val="99"/>
    <w:semiHidden/>
    <w:unhideWhenUsed/>
    <w:rsid w:val="00496B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6B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DA1AB11732B448A71D9F3CA63A0E2C" ma:contentTypeVersion="8" ma:contentTypeDescription="Create a new document." ma:contentTypeScope="" ma:versionID="639145a43d595db73776290185f6eb4c">
  <xsd:schema xmlns:xsd="http://www.w3.org/2001/XMLSchema" xmlns:xs="http://www.w3.org/2001/XMLSchema" xmlns:p="http://schemas.microsoft.com/office/2006/metadata/properties" xmlns:ns2="c6b4999d-531e-4b8c-be19-a035652802af" targetNamespace="http://schemas.microsoft.com/office/2006/metadata/properties" ma:root="true" ma:fieldsID="3b6f9e86c5277917dc816e653547ab42" ns2:_="">
    <xsd:import namespace="c6b4999d-531e-4b8c-be19-a035652802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b4999d-531e-4b8c-be19-a035652802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C1056C-07F0-46AC-9DBC-F1FBDDBB504D}">
  <ds:schemaRefs>
    <ds:schemaRef ds:uri="http://schemas.openxmlformats.org/officeDocument/2006/bibliography"/>
  </ds:schemaRefs>
</ds:datastoreItem>
</file>

<file path=customXml/itemProps2.xml><?xml version="1.0" encoding="utf-8"?>
<ds:datastoreItem xmlns:ds="http://schemas.openxmlformats.org/officeDocument/2006/customXml" ds:itemID="{02BD8704-12A3-4DD2-9AE0-4340C19EA84B}">
  <ds:schemaRefs>
    <ds:schemaRef ds:uri="http://schemas.microsoft.com/sharepoint/v3/contenttype/forms"/>
  </ds:schemaRefs>
</ds:datastoreItem>
</file>

<file path=customXml/itemProps3.xml><?xml version="1.0" encoding="utf-8"?>
<ds:datastoreItem xmlns:ds="http://schemas.openxmlformats.org/officeDocument/2006/customXml" ds:itemID="{A20A315D-9DEF-49A0-8E74-27D8742A18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b4999d-531e-4b8c-be19-a035652802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820DF3-6B8E-438F-9592-84520DBB0E2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389</Words>
  <Characters>2222</Characters>
  <Application>Microsoft Office Word</Application>
  <DocSecurity>0</DocSecurity>
  <Lines>18</Lines>
  <Paragraphs>5</Paragraphs>
  <ScaleCrop>false</ScaleCrop>
  <Company>University of West Florida</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Stanny</dc:creator>
  <cp:keywords/>
  <dc:description/>
  <cp:lastModifiedBy>Beebe, Ronald</cp:lastModifiedBy>
  <cp:revision>2</cp:revision>
  <dcterms:created xsi:type="dcterms:W3CDTF">2023-09-20T15:10:00Z</dcterms:created>
  <dcterms:modified xsi:type="dcterms:W3CDTF">2023-09-20T15:10:00Z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0x0101004FDA1AB11732B448A71D9F3CA63A0E2C</vt:lpwstr>
  </property>
</Properties>
</file>